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F6" w:rsidRDefault="003072F6" w:rsidP="003072F6">
      <w:pPr>
        <w:shd w:val="clear" w:color="auto" w:fill="FFFFFF" w:themeFill="background1"/>
        <w:spacing w:before="75" w:after="75" w:line="360" w:lineRule="atLeast"/>
        <w:jc w:val="center"/>
        <w:outlineLvl w:val="0"/>
        <w:rPr>
          <w:rFonts w:ascii="Trebuchet MS" w:eastAsia="Times New Roman" w:hAnsi="Trebuchet MS" w:cs="Times New Roman"/>
          <w:color w:val="56595E"/>
          <w:kern w:val="36"/>
          <w:sz w:val="36"/>
          <w:szCs w:val="36"/>
          <w:lang w:eastAsia="ru-RU"/>
        </w:rPr>
      </w:pPr>
      <w:r w:rsidRPr="00AD5E1E">
        <w:rPr>
          <w:rFonts w:ascii="Trebuchet MS" w:eastAsia="Times New Roman" w:hAnsi="Trebuchet MS" w:cs="Times New Roman"/>
          <w:color w:val="56595E"/>
          <w:kern w:val="36"/>
          <w:sz w:val="36"/>
          <w:szCs w:val="36"/>
          <w:lang w:eastAsia="ru-RU"/>
        </w:rPr>
        <w:t>ОП-4</w:t>
      </w:r>
      <w:r>
        <w:rPr>
          <w:rFonts w:ascii="Trebuchet MS" w:eastAsia="Times New Roman" w:hAnsi="Trebuchet MS" w:cs="Times New Roman"/>
          <w:color w:val="56595E"/>
          <w:kern w:val="36"/>
          <w:sz w:val="36"/>
          <w:szCs w:val="36"/>
          <w:lang w:eastAsia="ru-RU"/>
        </w:rPr>
        <w:t xml:space="preserve">  </w:t>
      </w:r>
      <w:r w:rsidRPr="00AD5E1E">
        <w:rPr>
          <w:rFonts w:ascii="Trebuchet MS" w:eastAsia="Times New Roman" w:hAnsi="Trebuchet MS" w:cs="Times New Roman"/>
          <w:color w:val="56595E"/>
          <w:kern w:val="36"/>
          <w:sz w:val="36"/>
          <w:szCs w:val="36"/>
          <w:lang w:eastAsia="ru-RU"/>
        </w:rPr>
        <w:t>Огнетушитель порошковый</w:t>
      </w:r>
    </w:p>
    <w:p w:rsidR="003072F6" w:rsidRPr="00AD5E1E" w:rsidRDefault="003072F6" w:rsidP="003072F6">
      <w:pPr>
        <w:shd w:val="clear" w:color="auto" w:fill="FFFFFF" w:themeFill="background1"/>
        <w:spacing w:before="75" w:after="75" w:line="360" w:lineRule="atLeast"/>
        <w:jc w:val="center"/>
        <w:outlineLvl w:val="0"/>
        <w:rPr>
          <w:rFonts w:ascii="Trebuchet MS" w:eastAsia="Times New Roman" w:hAnsi="Trebuchet MS" w:cs="Times New Roman"/>
          <w:color w:val="56595E"/>
          <w:kern w:val="36"/>
          <w:sz w:val="36"/>
          <w:szCs w:val="36"/>
          <w:lang w:eastAsia="ru-RU"/>
        </w:rPr>
      </w:pPr>
    </w:p>
    <w:p w:rsidR="003072F6" w:rsidRPr="00AD5E1E" w:rsidRDefault="003072F6" w:rsidP="003072F6">
      <w:pPr>
        <w:shd w:val="clear" w:color="auto" w:fill="FFFFFF" w:themeFill="background1"/>
        <w:spacing w:before="75" w:after="75" w:line="300" w:lineRule="atLeast"/>
        <w:outlineLvl w:val="1"/>
        <w:rPr>
          <w:rFonts w:ascii="Trebuchet MS" w:eastAsia="Times New Roman" w:hAnsi="Trebuchet MS" w:cs="Times New Roman"/>
          <w:color w:val="56595E"/>
          <w:sz w:val="30"/>
          <w:szCs w:val="30"/>
          <w:lang w:eastAsia="ru-RU"/>
        </w:rPr>
      </w:pPr>
      <w:r w:rsidRPr="00AD5E1E">
        <w:rPr>
          <w:rFonts w:ascii="Trebuchet MS" w:eastAsia="Times New Roman" w:hAnsi="Trebuchet MS" w:cs="Times New Roman"/>
          <w:color w:val="56595E"/>
          <w:sz w:val="30"/>
          <w:szCs w:val="30"/>
          <w:lang w:eastAsia="ru-RU"/>
        </w:rPr>
        <w:t>Огнетушитель порошковый, переносной, масса огнетуш</w:t>
      </w:r>
      <w:r>
        <w:rPr>
          <w:rFonts w:ascii="Trebuchet MS" w:eastAsia="Times New Roman" w:hAnsi="Trebuchet MS" w:cs="Times New Roman"/>
          <w:color w:val="56595E"/>
          <w:sz w:val="30"/>
          <w:szCs w:val="30"/>
          <w:lang w:eastAsia="ru-RU"/>
        </w:rPr>
        <w:t>ащего</w:t>
      </w:r>
      <w:r w:rsidRPr="00AD5E1E">
        <w:rPr>
          <w:rFonts w:ascii="Trebuchet MS" w:eastAsia="Times New Roman" w:hAnsi="Trebuchet MS" w:cs="Times New Roman"/>
          <w:color w:val="56595E"/>
          <w:sz w:val="30"/>
          <w:szCs w:val="30"/>
          <w:lang w:eastAsia="ru-RU"/>
        </w:rPr>
        <w:t xml:space="preserve"> вещества 4 кг.</w:t>
      </w:r>
    </w:p>
    <w:p w:rsidR="003072F6" w:rsidRDefault="003072F6" w:rsidP="003072F6">
      <w:pPr>
        <w:shd w:val="clear" w:color="auto" w:fill="FFFFFF" w:themeFill="background1"/>
        <w:rPr>
          <w:rFonts w:ascii="Trebuchet MS" w:hAnsi="Trebuchet MS"/>
          <w:color w:val="56595E"/>
          <w:sz w:val="21"/>
          <w:szCs w:val="21"/>
          <w:shd w:val="clear" w:color="auto" w:fill="E8E8E8"/>
        </w:rPr>
      </w:pPr>
      <w:r w:rsidRPr="003072F6"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>Огнетушитель порошковый, переносной (ОП). </w:t>
      </w:r>
      <w:proofErr w:type="gramStart"/>
      <w:r w:rsidRPr="003072F6"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>Необходим</w:t>
      </w:r>
      <w:proofErr w:type="gramEnd"/>
      <w:r w:rsidRPr="003072F6"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 xml:space="preserve"> для борьбы с возгоранием твёрдых материалов, газов, жидкостей и эл. установок. Масса до 6 кг</w:t>
      </w:r>
      <w:r w:rsidRPr="003072F6"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>.</w:t>
      </w:r>
    </w:p>
    <w:p w:rsidR="003072F6" w:rsidRDefault="003072F6" w:rsidP="003072F6">
      <w:pPr>
        <w:shd w:val="clear" w:color="auto" w:fill="FFFFFF" w:themeFill="background1"/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</w:pPr>
      <w:r w:rsidRPr="003072F6"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 xml:space="preserve">Порошковые огнетушители </w:t>
      </w:r>
      <w:r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>применяются</w:t>
      </w:r>
      <w:r w:rsidRPr="003072F6"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 xml:space="preserve"> при борьбе с возгоранием твёрдых материалов (категория А), разных металлов и их производных, легковоспламеняющихся жидкостей (категория В), в том числе разных газов (категория С) и эл</w:t>
      </w:r>
      <w:r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>ектрических</w:t>
      </w:r>
      <w:r w:rsidRPr="003072F6"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 xml:space="preserve"> силовых установок с нагрузкой не больше 1000</w:t>
      </w:r>
      <w:proofErr w:type="gramStart"/>
      <w:r w:rsidRPr="003072F6"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>В(</w:t>
      </w:r>
      <w:proofErr w:type="gramEnd"/>
      <w:r w:rsidRPr="003072F6"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 xml:space="preserve">категория </w:t>
      </w:r>
      <w:r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>Е</w:t>
      </w:r>
      <w:r w:rsidRPr="003072F6">
        <w:rPr>
          <w:rFonts w:ascii="Trebuchet MS" w:hAnsi="Trebuchet MS"/>
          <w:color w:val="56595E"/>
          <w:sz w:val="21"/>
          <w:szCs w:val="21"/>
          <w:shd w:val="clear" w:color="auto" w:fill="FFFFFF" w:themeFill="background1"/>
        </w:rPr>
        <w:t>). В основном, данный тип огнетушителей используется при относительно малой площади возгорания, что делает возможным его применение в местах скопления людей. Допустимо применение данных огнетушителей для борьбы с возгоранием в двигателе автомобиля. </w:t>
      </w:r>
    </w:p>
    <w:p w:rsidR="003072F6" w:rsidRDefault="003072F6" w:rsidP="003072F6">
      <w:pPr>
        <w:shd w:val="clear" w:color="auto" w:fill="FFFFFF" w:themeFill="background1"/>
        <w:rPr>
          <w:rFonts w:ascii="Trebuchet MS" w:hAnsi="Trebuchet MS"/>
          <w:color w:val="56595E"/>
          <w:sz w:val="21"/>
          <w:szCs w:val="21"/>
          <w:shd w:val="clear" w:color="auto" w:fill="E8E8E8"/>
        </w:rPr>
      </w:pPr>
    </w:p>
    <w:p w:rsidR="003072F6" w:rsidRPr="00AD5E1E" w:rsidRDefault="003072F6" w:rsidP="003072F6">
      <w:pPr>
        <w:shd w:val="clear" w:color="auto" w:fill="FFFFFF" w:themeFill="background1"/>
        <w:spacing w:before="225" w:after="225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AD5E1E"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  <w:t>Основные те</w:t>
      </w:r>
      <w:r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  <w:t>хнические характеристики ОП-4</w:t>
      </w:r>
      <w:r w:rsidRPr="00AD5E1E"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  <w:t xml:space="preserve"> BCE:</w:t>
      </w:r>
    </w:p>
    <w:tbl>
      <w:tblPr>
        <w:tblW w:w="6810" w:type="dxa"/>
        <w:jc w:val="center"/>
        <w:tblCellSpacing w:w="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3617"/>
      </w:tblGrid>
      <w:tr w:rsidR="003072F6" w:rsidRPr="00AD5E1E" w:rsidTr="0070220E">
        <w:trPr>
          <w:tblCellSpacing w:w="0" w:type="dxa"/>
          <w:jc w:val="center"/>
        </w:trPr>
        <w:tc>
          <w:tcPr>
            <w:tcW w:w="6750" w:type="dxa"/>
            <w:gridSpan w:val="2"/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Огнетушитель порошковый ОП-4 </w:t>
            </w:r>
            <w:r w:rsidRPr="003072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ВСЕ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 пожара</w:t>
            </w:r>
          </w:p>
        </w:tc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В, С, Е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Масса заряда порошка</w:t>
            </w:r>
          </w:p>
        </w:tc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 кг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Огнетушащая способность по классу пожаров: А, В</w:t>
            </w:r>
          </w:p>
        </w:tc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Start"/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А</w:t>
            </w:r>
            <w:proofErr w:type="gramEnd"/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 55 В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Длина выбрасываемой струи</w:t>
            </w:r>
          </w:p>
        </w:tc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 м (не меньше)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гибкого шланга</w:t>
            </w:r>
          </w:p>
        </w:tc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Продолжительность подачи </w:t>
            </w:r>
            <w:proofErr w:type="gramStart"/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</w:t>
            </w:r>
            <w:proofErr w:type="gramEnd"/>
          </w:p>
        </w:tc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 с (не меньше)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Рабочее давление</w:t>
            </w:r>
          </w:p>
        </w:tc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1.4±0.2 МПа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-40°C...+50°C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Размеры (высота/диаметр)</w:t>
            </w:r>
          </w:p>
        </w:tc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340/155 мм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 кг (не больше)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Вытесняющий газ</w:t>
            </w:r>
          </w:p>
        </w:tc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воздух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Переосвидетельствование</w:t>
            </w:r>
          </w:p>
        </w:tc>
        <w:tc>
          <w:tcPr>
            <w:tcW w:w="3165" w:type="dxa"/>
            <w:shd w:val="clear" w:color="auto" w:fill="E8E8E8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реже 1 раза в 5 лет</w:t>
            </w:r>
          </w:p>
        </w:tc>
      </w:tr>
      <w:tr w:rsidR="003072F6" w:rsidRPr="00AD5E1E" w:rsidTr="0070220E">
        <w:trPr>
          <w:tblCellSpacing w:w="0" w:type="dxa"/>
          <w:jc w:val="center"/>
        </w:trPr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службы</w:t>
            </w:r>
          </w:p>
        </w:tc>
        <w:tc>
          <w:tcPr>
            <w:tcW w:w="3165" w:type="dxa"/>
            <w:shd w:val="clear" w:color="auto" w:fill="EFEFE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3072F6" w:rsidRPr="00AD5E1E" w:rsidRDefault="003072F6" w:rsidP="003072F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5E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лет</w:t>
            </w:r>
          </w:p>
        </w:tc>
      </w:tr>
    </w:tbl>
    <w:p w:rsidR="003072F6" w:rsidRDefault="003072F6" w:rsidP="003072F6">
      <w:pPr>
        <w:shd w:val="clear" w:color="auto" w:fill="FFFFFF" w:themeFill="background1"/>
      </w:pPr>
    </w:p>
    <w:p w:rsidR="003072F6" w:rsidRPr="003072F6" w:rsidRDefault="003072F6" w:rsidP="003072F6">
      <w:pPr>
        <w:pStyle w:val="a3"/>
        <w:shd w:val="clear" w:color="auto" w:fill="FFFFFF" w:themeFill="background1"/>
        <w:spacing w:before="225" w:beforeAutospacing="0" w:after="225" w:afterAutospacing="0"/>
        <w:rPr>
          <w:rFonts w:ascii="Trebuchet MS" w:hAnsi="Trebuchet MS"/>
          <w:sz w:val="21"/>
          <w:szCs w:val="21"/>
        </w:rPr>
      </w:pPr>
      <w:r w:rsidRPr="003072F6">
        <w:rPr>
          <w:rStyle w:val="a4"/>
          <w:rFonts w:ascii="Trebuchet MS" w:hAnsi="Trebuchet MS"/>
          <w:sz w:val="21"/>
          <w:szCs w:val="21"/>
        </w:rPr>
        <w:t>Порошковые огнетушители (ОП) применяются в следующих ситуациях:</w:t>
      </w:r>
    </w:p>
    <w:p w:rsidR="003072F6" w:rsidRDefault="003072F6" w:rsidP="003072F6">
      <w:pPr>
        <w:pStyle w:val="a3"/>
        <w:shd w:val="clear" w:color="auto" w:fill="FFFFFF" w:themeFill="background1"/>
        <w:spacing w:before="225" w:beforeAutospacing="0" w:after="225" w:afterAutospacing="0"/>
        <w:rPr>
          <w:rFonts w:ascii="Trebuchet MS" w:hAnsi="Trebuchet MS"/>
          <w:color w:val="56595E"/>
          <w:sz w:val="21"/>
          <w:szCs w:val="21"/>
        </w:rPr>
      </w:pPr>
      <w:r>
        <w:rPr>
          <w:rFonts w:ascii="Trebuchet MS" w:hAnsi="Trebuchet MS"/>
          <w:color w:val="56595E"/>
          <w:sz w:val="21"/>
          <w:szCs w:val="21"/>
        </w:rPr>
        <w:t xml:space="preserve">• При возгорании твёрдых веществ (класс </w:t>
      </w:r>
      <w:r>
        <w:rPr>
          <w:rFonts w:ascii="Trebuchet MS" w:hAnsi="Trebuchet MS"/>
          <w:color w:val="56595E"/>
          <w:sz w:val="21"/>
          <w:szCs w:val="21"/>
        </w:rPr>
        <w:t xml:space="preserve">пожара </w:t>
      </w:r>
      <w:r>
        <w:rPr>
          <w:rFonts w:ascii="Trebuchet MS" w:hAnsi="Trebuchet MS"/>
          <w:color w:val="56595E"/>
          <w:sz w:val="21"/>
          <w:szCs w:val="21"/>
        </w:rPr>
        <w:t>А) </w:t>
      </w:r>
      <w:r>
        <w:rPr>
          <w:rFonts w:ascii="Trebuchet MS" w:hAnsi="Trebuchet MS"/>
          <w:color w:val="56595E"/>
          <w:sz w:val="21"/>
          <w:szCs w:val="21"/>
        </w:rPr>
        <w:br/>
        <w:t>• При возгорании жидкостей (класс</w:t>
      </w:r>
      <w:r w:rsidRPr="003072F6">
        <w:rPr>
          <w:rFonts w:ascii="Trebuchet MS" w:hAnsi="Trebuchet MS"/>
          <w:color w:val="56595E"/>
          <w:sz w:val="21"/>
          <w:szCs w:val="21"/>
        </w:rPr>
        <w:t xml:space="preserve"> </w:t>
      </w:r>
      <w:r>
        <w:rPr>
          <w:rFonts w:ascii="Trebuchet MS" w:hAnsi="Trebuchet MS"/>
          <w:color w:val="56595E"/>
          <w:sz w:val="21"/>
          <w:szCs w:val="21"/>
        </w:rPr>
        <w:t>пожара В) </w:t>
      </w:r>
      <w:r>
        <w:rPr>
          <w:rFonts w:ascii="Trebuchet MS" w:hAnsi="Trebuchet MS"/>
          <w:color w:val="56595E"/>
          <w:sz w:val="21"/>
          <w:szCs w:val="21"/>
        </w:rPr>
        <w:br/>
        <w:t>• При воспламенении газов (класс пожара</w:t>
      </w:r>
      <w:r>
        <w:rPr>
          <w:rFonts w:ascii="Trebuchet MS" w:hAnsi="Trebuchet MS"/>
          <w:color w:val="56595E"/>
          <w:sz w:val="21"/>
          <w:szCs w:val="21"/>
        </w:rPr>
        <w:t xml:space="preserve"> </w:t>
      </w:r>
      <w:r>
        <w:rPr>
          <w:rFonts w:ascii="Trebuchet MS" w:hAnsi="Trebuchet MS"/>
          <w:color w:val="56595E"/>
          <w:sz w:val="21"/>
          <w:szCs w:val="21"/>
        </w:rPr>
        <w:t>С) </w:t>
      </w:r>
      <w:r>
        <w:rPr>
          <w:rFonts w:ascii="Trebuchet MS" w:hAnsi="Trebuchet MS"/>
          <w:color w:val="56595E"/>
          <w:sz w:val="21"/>
          <w:szCs w:val="21"/>
        </w:rPr>
        <w:br/>
        <w:t>• При возгорании эл. установок под напряжением до 1000В (класс</w:t>
      </w:r>
      <w:r w:rsidRPr="003072F6">
        <w:rPr>
          <w:rFonts w:ascii="Trebuchet MS" w:hAnsi="Trebuchet MS"/>
          <w:color w:val="56595E"/>
          <w:sz w:val="21"/>
          <w:szCs w:val="21"/>
        </w:rPr>
        <w:t xml:space="preserve"> </w:t>
      </w:r>
      <w:r>
        <w:rPr>
          <w:rFonts w:ascii="Trebuchet MS" w:hAnsi="Trebuchet MS"/>
          <w:color w:val="56595E"/>
          <w:sz w:val="21"/>
          <w:szCs w:val="21"/>
        </w:rPr>
        <w:t>пожара</w:t>
      </w:r>
      <w:r>
        <w:rPr>
          <w:rFonts w:ascii="Trebuchet MS" w:hAnsi="Trebuchet MS"/>
          <w:color w:val="56595E"/>
          <w:sz w:val="21"/>
          <w:szCs w:val="21"/>
        </w:rPr>
        <w:t xml:space="preserve"> </w:t>
      </w:r>
      <w:r>
        <w:rPr>
          <w:rFonts w:ascii="Trebuchet MS" w:hAnsi="Trebuchet MS"/>
          <w:color w:val="56595E"/>
          <w:sz w:val="21"/>
          <w:szCs w:val="21"/>
        </w:rPr>
        <w:t>E)</w:t>
      </w:r>
    </w:p>
    <w:p w:rsidR="003072F6" w:rsidRDefault="003072F6" w:rsidP="003072F6">
      <w:pPr>
        <w:pStyle w:val="a3"/>
        <w:shd w:val="clear" w:color="auto" w:fill="FFFFFF" w:themeFill="background1"/>
        <w:spacing w:before="225" w:beforeAutospacing="0" w:after="225" w:afterAutospacing="0"/>
        <w:rPr>
          <w:rFonts w:ascii="Trebuchet MS" w:hAnsi="Trebuchet MS"/>
          <w:color w:val="56595E"/>
          <w:sz w:val="21"/>
          <w:szCs w:val="21"/>
        </w:rPr>
      </w:pPr>
      <w:r>
        <w:rPr>
          <w:rStyle w:val="a4"/>
          <w:rFonts w:ascii="Trebuchet MS" w:hAnsi="Trebuchet MS"/>
          <w:color w:val="56595E"/>
          <w:sz w:val="21"/>
          <w:szCs w:val="21"/>
        </w:rPr>
        <w:t>Комплектация:</w:t>
      </w:r>
      <w:r>
        <w:rPr>
          <w:rFonts w:ascii="Trebuchet MS" w:hAnsi="Trebuchet MS"/>
          <w:color w:val="56595E"/>
          <w:sz w:val="21"/>
          <w:szCs w:val="21"/>
        </w:rPr>
        <w:t> Огнетушитель (ПО), гибкий шланг, руководство по эксплуатации</w:t>
      </w:r>
      <w:r>
        <w:rPr>
          <w:rFonts w:ascii="Trebuchet MS" w:hAnsi="Trebuchet MS"/>
          <w:color w:val="56595E"/>
          <w:sz w:val="21"/>
          <w:szCs w:val="21"/>
        </w:rPr>
        <w:t>.</w:t>
      </w:r>
    </w:p>
    <w:p w:rsidR="003072F6" w:rsidRDefault="003072F6" w:rsidP="003072F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rebuchet MS" w:hAnsi="Trebuchet MS"/>
          <w:color w:val="444444"/>
          <w:sz w:val="21"/>
          <w:szCs w:val="21"/>
        </w:rPr>
      </w:pPr>
    </w:p>
    <w:p w:rsidR="003072F6" w:rsidRDefault="003072F6" w:rsidP="003072F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rebuchet MS" w:hAnsi="Trebuchet MS"/>
          <w:color w:val="444444"/>
          <w:sz w:val="21"/>
          <w:szCs w:val="21"/>
        </w:rPr>
      </w:pPr>
    </w:p>
    <w:p w:rsidR="003072F6" w:rsidRDefault="003072F6" w:rsidP="003072F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rebuchet MS" w:hAnsi="Trebuchet MS"/>
          <w:color w:val="444444"/>
          <w:sz w:val="21"/>
          <w:szCs w:val="21"/>
        </w:rPr>
      </w:pPr>
    </w:p>
    <w:p w:rsidR="003072F6" w:rsidRDefault="003072F6" w:rsidP="003072F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rebuchet MS" w:hAnsi="Trebuchet MS"/>
          <w:color w:val="444444"/>
          <w:sz w:val="21"/>
          <w:szCs w:val="21"/>
        </w:rPr>
      </w:pPr>
    </w:p>
    <w:p w:rsidR="003072F6" w:rsidRDefault="003072F6" w:rsidP="003072F6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lastRenderedPageBreak/>
        <w:t>Принцип действия порошкового огнетушителя (ОП) базируется на выбрасывании под давлением сжатого газа (воздуха) тушащего состава. При работе с данным типом огнетушителей, следует проверять давление в баллоне. Если его будет недостаточно красная зона на манометре, то работа огнетушителя может быть нарушена, что повлечёт за собой потерю времени на его замену, и может привести к серьёзным последствиям. </w:t>
      </w: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  <w:bookmarkStart w:id="0" w:name="_GoBack"/>
      <w:bookmarkEnd w:id="0"/>
      <w:r>
        <w:rPr>
          <w:rFonts w:ascii="Trebuchet MS" w:hAnsi="Trebuchet MS"/>
          <w:color w:val="444444"/>
          <w:sz w:val="21"/>
          <w:szCs w:val="21"/>
        </w:rPr>
        <w:t>Обязательно следите за рабочим давлением порошкового огнетушителя! Если же давление находится в зелёной зоне, значит его достаточно для нормального функционирования порошкового огнетушителя, и, вытащив предохранительную чеку, можно приступить к тушению пожара, посредством направления рукава огнетушителя на зону возгорания и нажатием спусковой ручки.</w:t>
      </w:r>
    </w:p>
    <w:p w:rsidR="003072F6" w:rsidRDefault="003072F6" w:rsidP="003072F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 xml:space="preserve">Не стоит допускать повреждений баллона огнетушителя. При тушении пожара порошковым огнетушителем запрещается направлять выбрасываемую из баллона струю в рядом стоящих людей, т.к. это может привести к серьёзным травмам и нежелательным последствиям. Баллон порошкового огнетушителя не должен подвергаться прямому солнечному, водному и иному тепловому воздействию. Перед началом работы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с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ОП нужно убедиться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в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целостности пломбы на чеке. Срок годности </w:t>
      </w:r>
      <w:proofErr w:type="gramStart"/>
      <w:r>
        <w:rPr>
          <w:rFonts w:ascii="Trebuchet MS" w:hAnsi="Trebuchet MS"/>
          <w:color w:val="444444"/>
          <w:sz w:val="21"/>
          <w:szCs w:val="21"/>
        </w:rPr>
        <w:t>ПО</w:t>
      </w:r>
      <w:proofErr w:type="gramEnd"/>
      <w:r>
        <w:rPr>
          <w:rFonts w:ascii="Trebuchet MS" w:hAnsi="Trebuchet MS"/>
          <w:color w:val="444444"/>
          <w:sz w:val="21"/>
          <w:szCs w:val="21"/>
        </w:rPr>
        <w:t xml:space="preserve"> так же очень важен. Если огнетушителем долго не пользовались, то со временем он может потерять давление и выйти из строя. Чтобы не попасть в такую ситуацию, следует ежегодно проводить его дозаправку.</w:t>
      </w:r>
    </w:p>
    <w:p w:rsidR="003072F6" w:rsidRDefault="003072F6" w:rsidP="003072F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Состав порошковых огнетушителей состоит из специальных добавок, не дающих ему слёживаться и минерального песка. Нужно знать, что данный тип огнетушителей не желательно использовать в библиотеках, архивах и других аналогичных помещениях, т.к. применяемый состав не гарантирует сохранность объектов тушения.</w:t>
      </w:r>
    </w:p>
    <w:p w:rsidR="009D3572" w:rsidRDefault="009D3572"/>
    <w:sectPr w:rsidR="009D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0" w:rsidRDefault="00011030" w:rsidP="003072F6">
      <w:pPr>
        <w:spacing w:after="0" w:line="240" w:lineRule="auto"/>
      </w:pPr>
      <w:r>
        <w:separator/>
      </w:r>
    </w:p>
  </w:endnote>
  <w:endnote w:type="continuationSeparator" w:id="0">
    <w:p w:rsidR="00011030" w:rsidRDefault="00011030" w:rsidP="0030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0" w:rsidRDefault="00011030" w:rsidP="003072F6">
      <w:pPr>
        <w:spacing w:after="0" w:line="240" w:lineRule="auto"/>
      </w:pPr>
      <w:r>
        <w:separator/>
      </w:r>
    </w:p>
  </w:footnote>
  <w:footnote w:type="continuationSeparator" w:id="0">
    <w:p w:rsidR="00011030" w:rsidRDefault="00011030" w:rsidP="00307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D2"/>
    <w:rsid w:val="00011030"/>
    <w:rsid w:val="00156BD2"/>
    <w:rsid w:val="003072F6"/>
    <w:rsid w:val="009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2F6"/>
    <w:rPr>
      <w:b/>
      <w:bCs/>
    </w:rPr>
  </w:style>
  <w:style w:type="paragraph" w:styleId="a5">
    <w:name w:val="header"/>
    <w:basedOn w:val="a"/>
    <w:link w:val="a6"/>
    <w:uiPriority w:val="99"/>
    <w:unhideWhenUsed/>
    <w:rsid w:val="0030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2F6"/>
  </w:style>
  <w:style w:type="paragraph" w:styleId="a7">
    <w:name w:val="footer"/>
    <w:basedOn w:val="a"/>
    <w:link w:val="a8"/>
    <w:uiPriority w:val="99"/>
    <w:unhideWhenUsed/>
    <w:rsid w:val="0030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2F6"/>
    <w:rPr>
      <w:b/>
      <w:bCs/>
    </w:rPr>
  </w:style>
  <w:style w:type="paragraph" w:styleId="a5">
    <w:name w:val="header"/>
    <w:basedOn w:val="a"/>
    <w:link w:val="a6"/>
    <w:uiPriority w:val="99"/>
    <w:unhideWhenUsed/>
    <w:rsid w:val="0030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2F6"/>
  </w:style>
  <w:style w:type="paragraph" w:styleId="a7">
    <w:name w:val="footer"/>
    <w:basedOn w:val="a"/>
    <w:link w:val="a8"/>
    <w:uiPriority w:val="99"/>
    <w:unhideWhenUsed/>
    <w:rsid w:val="0030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2018-04-03T12:03:00Z</dcterms:created>
  <dcterms:modified xsi:type="dcterms:W3CDTF">2018-04-03T12:15:00Z</dcterms:modified>
</cp:coreProperties>
</file>