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3A" w:rsidRDefault="0028413E" w:rsidP="0028413E">
      <w:pPr>
        <w:jc w:val="center"/>
        <w:rPr>
          <w:b/>
          <w:sz w:val="32"/>
          <w:szCs w:val="32"/>
          <w:u w:val="single"/>
        </w:rPr>
      </w:pPr>
      <w:r w:rsidRPr="0028413E">
        <w:rPr>
          <w:b/>
          <w:sz w:val="32"/>
          <w:szCs w:val="32"/>
          <w:u w:val="single"/>
        </w:rPr>
        <w:t>ОУ-2 Огнетушитель углекислотный</w:t>
      </w:r>
    </w:p>
    <w:p w:rsidR="0028413E" w:rsidRPr="001C4F1B" w:rsidRDefault="0028413E" w:rsidP="001C4F1B">
      <w:pPr>
        <w:rPr>
          <w:rFonts w:ascii="Trebuchet MS" w:hAnsi="Trebuchet MS"/>
          <w:sz w:val="21"/>
          <w:szCs w:val="21"/>
          <w:shd w:val="clear" w:color="auto" w:fill="E8E8E8"/>
        </w:rPr>
      </w:pPr>
      <w:r w:rsidRPr="005B4964">
        <w:rPr>
          <w:rFonts w:ascii="Trebuchet MS" w:hAnsi="Trebuchet MS"/>
          <w:sz w:val="21"/>
          <w:szCs w:val="21"/>
        </w:rPr>
        <w:t xml:space="preserve">Углекислотный огнетушитель предназначен для борьбы с пожарами, возникшими по причине реакции огня с кислородом. За счёт распыления на очаг возгорания специальной газовой смеси (двуокись углерода), происходит понижение температуры горящей среды и вытеснение кислорода, что и приводит к остановке возгорания, делая его распространение невозможным. Такие огнетушители наиболее хорошо зарекомендовали себя в разных архивах, где содержатся </w:t>
      </w:r>
      <w:proofErr w:type="spellStart"/>
      <w:r w:rsidRPr="005B4964">
        <w:rPr>
          <w:rFonts w:ascii="Trebuchet MS" w:hAnsi="Trebuchet MS"/>
          <w:sz w:val="21"/>
          <w:szCs w:val="21"/>
        </w:rPr>
        <w:t>легковоспламеняемые</w:t>
      </w:r>
      <w:proofErr w:type="spellEnd"/>
      <w:r w:rsidRPr="005B4964">
        <w:rPr>
          <w:rFonts w:ascii="Trebuchet MS" w:hAnsi="Trebuchet MS"/>
          <w:sz w:val="21"/>
          <w:szCs w:val="21"/>
        </w:rPr>
        <w:t xml:space="preserve"> материалы, музеях, библиотеках, галереях и других аналогичных социально значимых объектах инфраструктуры. Газовая смесь УО не наносит вреда объектам тушения.</w:t>
      </w:r>
    </w:p>
    <w:p w:rsidR="0028413E" w:rsidRPr="005B4964" w:rsidRDefault="0028413E" w:rsidP="001C4F1B">
      <w:pPr>
        <w:shd w:val="clear" w:color="auto" w:fill="FFFFFF" w:themeFill="background1"/>
        <w:spacing w:before="225" w:after="225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5B4964">
        <w:rPr>
          <w:rFonts w:ascii="Trebuchet MS" w:eastAsia="Times New Roman" w:hAnsi="Trebuchet MS" w:cs="Times New Roman"/>
          <w:sz w:val="21"/>
          <w:szCs w:val="21"/>
          <w:u w:val="single"/>
          <w:lang w:eastAsia="ru-RU"/>
        </w:rPr>
        <w:t>Основные технические характеристики ОУ-2:</w:t>
      </w:r>
    </w:p>
    <w:tbl>
      <w:tblPr>
        <w:tblW w:w="6810" w:type="dxa"/>
        <w:jc w:val="center"/>
        <w:tblCellSpacing w:w="0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3"/>
        <w:gridCol w:w="3617"/>
      </w:tblGrid>
      <w:tr w:rsidR="005B4964" w:rsidRPr="005B4964" w:rsidTr="005B4964">
        <w:trPr>
          <w:tblCellSpacing w:w="0" w:type="dxa"/>
          <w:jc w:val="center"/>
        </w:trPr>
        <w:tc>
          <w:tcPr>
            <w:tcW w:w="6750" w:type="dxa"/>
            <w:gridSpan w:val="2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3E" w:rsidRPr="005B4964" w:rsidRDefault="0028413E" w:rsidP="001C4F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496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Огнетушитель углекислотный ОУ-2</w:t>
            </w:r>
          </w:p>
        </w:tc>
      </w:tr>
      <w:tr w:rsidR="005B4964" w:rsidRPr="005B4964" w:rsidTr="005B4964">
        <w:trPr>
          <w:tblCellSpacing w:w="0" w:type="dxa"/>
          <w:jc w:val="center"/>
        </w:trPr>
        <w:tc>
          <w:tcPr>
            <w:tcW w:w="3165" w:type="dxa"/>
            <w:shd w:val="clear" w:color="auto" w:fill="F2F2F2" w:themeFill="background1" w:themeFillShade="F2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28413E" w:rsidRPr="005B4964" w:rsidRDefault="0028413E" w:rsidP="001C4F1B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49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Класс пожара</w:t>
            </w:r>
          </w:p>
        </w:tc>
        <w:tc>
          <w:tcPr>
            <w:tcW w:w="3165" w:type="dxa"/>
            <w:shd w:val="clear" w:color="auto" w:fill="F2F2F2" w:themeFill="background1" w:themeFillShade="F2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28413E" w:rsidRPr="005B4964" w:rsidRDefault="0028413E" w:rsidP="001C4F1B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49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В, С, Е</w:t>
            </w:r>
          </w:p>
        </w:tc>
      </w:tr>
      <w:tr w:rsidR="005B4964" w:rsidRPr="005B4964" w:rsidTr="005B4964">
        <w:trPr>
          <w:tblCellSpacing w:w="0" w:type="dxa"/>
          <w:jc w:val="center"/>
        </w:trPr>
        <w:tc>
          <w:tcPr>
            <w:tcW w:w="3165" w:type="dxa"/>
            <w:shd w:val="clear" w:color="auto" w:fill="F2F2F2" w:themeFill="background1" w:themeFillShade="F2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28413E" w:rsidRPr="005B4964" w:rsidRDefault="0028413E" w:rsidP="001C4F1B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49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3165" w:type="dxa"/>
            <w:shd w:val="clear" w:color="auto" w:fill="F2F2F2" w:themeFill="background1" w:themeFillShade="F2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28413E" w:rsidRPr="005B4964" w:rsidRDefault="0028413E" w:rsidP="001C4F1B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49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2.68 л</w:t>
            </w:r>
          </w:p>
        </w:tc>
      </w:tr>
      <w:tr w:rsidR="005B4964" w:rsidRPr="005B4964" w:rsidTr="005B4964">
        <w:trPr>
          <w:tblCellSpacing w:w="0" w:type="dxa"/>
          <w:jc w:val="center"/>
        </w:trPr>
        <w:tc>
          <w:tcPr>
            <w:tcW w:w="3165" w:type="dxa"/>
            <w:shd w:val="clear" w:color="auto" w:fill="F2F2F2" w:themeFill="background1" w:themeFillShade="F2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28413E" w:rsidRPr="005B4964" w:rsidRDefault="0028413E" w:rsidP="001C4F1B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49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Масса заряда двуокиси углерода</w:t>
            </w:r>
          </w:p>
        </w:tc>
        <w:tc>
          <w:tcPr>
            <w:tcW w:w="3165" w:type="dxa"/>
            <w:shd w:val="clear" w:color="auto" w:fill="F2F2F2" w:themeFill="background1" w:themeFillShade="F2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28413E" w:rsidRPr="005B4964" w:rsidRDefault="0028413E" w:rsidP="001C4F1B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49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2-0.1 кг</w:t>
            </w:r>
          </w:p>
        </w:tc>
      </w:tr>
      <w:tr w:rsidR="005B4964" w:rsidRPr="005B4964" w:rsidTr="005B4964">
        <w:trPr>
          <w:tblCellSpacing w:w="0" w:type="dxa"/>
          <w:jc w:val="center"/>
        </w:trPr>
        <w:tc>
          <w:tcPr>
            <w:tcW w:w="3165" w:type="dxa"/>
            <w:shd w:val="clear" w:color="auto" w:fill="F2F2F2" w:themeFill="background1" w:themeFillShade="F2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28413E" w:rsidRPr="005B4964" w:rsidRDefault="0028413E" w:rsidP="001C4F1B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49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Огнетушащая способность по классу пожаров: модельный очаг класса</w:t>
            </w:r>
            <w:proofErr w:type="gramStart"/>
            <w:r w:rsidRPr="005B49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  <w:tc>
          <w:tcPr>
            <w:tcW w:w="3165" w:type="dxa"/>
            <w:shd w:val="clear" w:color="auto" w:fill="F2F2F2" w:themeFill="background1" w:themeFillShade="F2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28413E" w:rsidRPr="005B4964" w:rsidRDefault="0028413E" w:rsidP="001C4F1B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49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  <w:proofErr w:type="gramStart"/>
            <w:r w:rsidRPr="005B49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В</w:t>
            </w:r>
            <w:proofErr w:type="gramEnd"/>
          </w:p>
        </w:tc>
      </w:tr>
      <w:tr w:rsidR="005B4964" w:rsidRPr="005B4964" w:rsidTr="005B4964">
        <w:trPr>
          <w:tblCellSpacing w:w="0" w:type="dxa"/>
          <w:jc w:val="center"/>
        </w:trPr>
        <w:tc>
          <w:tcPr>
            <w:tcW w:w="3165" w:type="dxa"/>
            <w:shd w:val="clear" w:color="auto" w:fill="F2F2F2" w:themeFill="background1" w:themeFillShade="F2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28413E" w:rsidRPr="005B4964" w:rsidRDefault="0028413E" w:rsidP="001C4F1B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49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Длина выбрасываемой струи</w:t>
            </w:r>
          </w:p>
        </w:tc>
        <w:tc>
          <w:tcPr>
            <w:tcW w:w="3165" w:type="dxa"/>
            <w:shd w:val="clear" w:color="auto" w:fill="F2F2F2" w:themeFill="background1" w:themeFillShade="F2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28413E" w:rsidRPr="005B4964" w:rsidRDefault="0028413E" w:rsidP="001C4F1B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49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менее 2 м</w:t>
            </w:r>
          </w:p>
        </w:tc>
      </w:tr>
      <w:tr w:rsidR="005B4964" w:rsidRPr="005B4964" w:rsidTr="005B4964">
        <w:trPr>
          <w:tblCellSpacing w:w="0" w:type="dxa"/>
          <w:jc w:val="center"/>
        </w:trPr>
        <w:tc>
          <w:tcPr>
            <w:tcW w:w="3165" w:type="dxa"/>
            <w:shd w:val="clear" w:color="auto" w:fill="F2F2F2" w:themeFill="background1" w:themeFillShade="F2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28413E" w:rsidRPr="005B4964" w:rsidRDefault="0028413E" w:rsidP="001C4F1B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49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Наличие гибкого шланга</w:t>
            </w:r>
          </w:p>
        </w:tc>
        <w:tc>
          <w:tcPr>
            <w:tcW w:w="3165" w:type="dxa"/>
            <w:shd w:val="clear" w:color="auto" w:fill="F2F2F2" w:themeFill="background1" w:themeFillShade="F2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28413E" w:rsidRPr="005B4964" w:rsidRDefault="0028413E" w:rsidP="001C4F1B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49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5B4964" w:rsidRPr="005B4964" w:rsidTr="005B4964">
        <w:trPr>
          <w:tblCellSpacing w:w="0" w:type="dxa"/>
          <w:jc w:val="center"/>
        </w:trPr>
        <w:tc>
          <w:tcPr>
            <w:tcW w:w="3165" w:type="dxa"/>
            <w:shd w:val="clear" w:color="auto" w:fill="F2F2F2" w:themeFill="background1" w:themeFillShade="F2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28413E" w:rsidRPr="005B4964" w:rsidRDefault="0028413E" w:rsidP="001C4F1B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49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Продолжительность подачи </w:t>
            </w:r>
            <w:proofErr w:type="gramStart"/>
            <w:r w:rsidRPr="005B49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</w:t>
            </w:r>
            <w:proofErr w:type="gramEnd"/>
          </w:p>
        </w:tc>
        <w:tc>
          <w:tcPr>
            <w:tcW w:w="3165" w:type="dxa"/>
            <w:shd w:val="clear" w:color="auto" w:fill="F2F2F2" w:themeFill="background1" w:themeFillShade="F2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28413E" w:rsidRPr="005B4964" w:rsidRDefault="0028413E" w:rsidP="001C4F1B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49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менее 6 с</w:t>
            </w:r>
          </w:p>
        </w:tc>
      </w:tr>
      <w:tr w:rsidR="005B4964" w:rsidRPr="005B4964" w:rsidTr="005B4964">
        <w:trPr>
          <w:tblCellSpacing w:w="0" w:type="dxa"/>
          <w:jc w:val="center"/>
        </w:trPr>
        <w:tc>
          <w:tcPr>
            <w:tcW w:w="3165" w:type="dxa"/>
            <w:shd w:val="clear" w:color="auto" w:fill="F2F2F2" w:themeFill="background1" w:themeFillShade="F2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28413E" w:rsidRPr="005B4964" w:rsidRDefault="0028413E" w:rsidP="001C4F1B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49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Рабочее давление</w:t>
            </w:r>
          </w:p>
        </w:tc>
        <w:tc>
          <w:tcPr>
            <w:tcW w:w="3165" w:type="dxa"/>
            <w:shd w:val="clear" w:color="auto" w:fill="F2F2F2" w:themeFill="background1" w:themeFillShade="F2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28413E" w:rsidRPr="005B4964" w:rsidRDefault="0028413E" w:rsidP="001C4F1B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49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5.88 МПа</w:t>
            </w:r>
          </w:p>
        </w:tc>
      </w:tr>
      <w:tr w:rsidR="005B4964" w:rsidRPr="005B4964" w:rsidTr="005B4964">
        <w:trPr>
          <w:tblCellSpacing w:w="0" w:type="dxa"/>
          <w:jc w:val="center"/>
        </w:trPr>
        <w:tc>
          <w:tcPr>
            <w:tcW w:w="3165" w:type="dxa"/>
            <w:shd w:val="clear" w:color="auto" w:fill="F2F2F2" w:themeFill="background1" w:themeFillShade="F2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28413E" w:rsidRPr="005B4964" w:rsidRDefault="0028413E" w:rsidP="001C4F1B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49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Рабочая температура</w:t>
            </w:r>
          </w:p>
        </w:tc>
        <w:tc>
          <w:tcPr>
            <w:tcW w:w="3165" w:type="dxa"/>
            <w:shd w:val="clear" w:color="auto" w:fill="F2F2F2" w:themeFill="background1" w:themeFillShade="F2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28413E" w:rsidRPr="005B4964" w:rsidRDefault="0028413E" w:rsidP="001C4F1B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49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-40°C...+50°C</w:t>
            </w:r>
          </w:p>
        </w:tc>
      </w:tr>
      <w:tr w:rsidR="005B4964" w:rsidRPr="005B4964" w:rsidTr="005B4964">
        <w:trPr>
          <w:tblCellSpacing w:w="0" w:type="dxa"/>
          <w:jc w:val="center"/>
        </w:trPr>
        <w:tc>
          <w:tcPr>
            <w:tcW w:w="3165" w:type="dxa"/>
            <w:shd w:val="clear" w:color="auto" w:fill="F2F2F2" w:themeFill="background1" w:themeFillShade="F2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28413E" w:rsidRPr="005B4964" w:rsidRDefault="0028413E" w:rsidP="001C4F1B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49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Размеры (высота/диаметр)</w:t>
            </w:r>
          </w:p>
        </w:tc>
        <w:tc>
          <w:tcPr>
            <w:tcW w:w="3165" w:type="dxa"/>
            <w:shd w:val="clear" w:color="auto" w:fill="F2F2F2" w:themeFill="background1" w:themeFillShade="F2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28413E" w:rsidRPr="005B4964" w:rsidRDefault="0028413E" w:rsidP="001C4F1B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49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490/110 мм</w:t>
            </w:r>
          </w:p>
        </w:tc>
      </w:tr>
      <w:tr w:rsidR="005B4964" w:rsidRPr="005B4964" w:rsidTr="005B4964">
        <w:trPr>
          <w:tblCellSpacing w:w="0" w:type="dxa"/>
          <w:jc w:val="center"/>
        </w:trPr>
        <w:tc>
          <w:tcPr>
            <w:tcW w:w="3165" w:type="dxa"/>
            <w:shd w:val="clear" w:color="auto" w:fill="F2F2F2" w:themeFill="background1" w:themeFillShade="F2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28413E" w:rsidRPr="005B4964" w:rsidRDefault="0028413E" w:rsidP="001C4F1B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49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3165" w:type="dxa"/>
            <w:shd w:val="clear" w:color="auto" w:fill="F2F2F2" w:themeFill="background1" w:themeFillShade="F2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28413E" w:rsidRPr="005B4964" w:rsidRDefault="0028413E" w:rsidP="001C4F1B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49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7.7 кг</w:t>
            </w:r>
          </w:p>
        </w:tc>
      </w:tr>
      <w:tr w:rsidR="005B4964" w:rsidRPr="005B4964" w:rsidTr="005B4964">
        <w:trPr>
          <w:tblCellSpacing w:w="0" w:type="dxa"/>
          <w:jc w:val="center"/>
        </w:trPr>
        <w:tc>
          <w:tcPr>
            <w:tcW w:w="3165" w:type="dxa"/>
            <w:shd w:val="clear" w:color="auto" w:fill="F2F2F2" w:themeFill="background1" w:themeFillShade="F2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28413E" w:rsidRPr="005B4964" w:rsidRDefault="0028413E" w:rsidP="001C4F1B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49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Величина утечки в год</w:t>
            </w:r>
          </w:p>
        </w:tc>
        <w:tc>
          <w:tcPr>
            <w:tcW w:w="3165" w:type="dxa"/>
            <w:shd w:val="clear" w:color="auto" w:fill="F2F2F2" w:themeFill="background1" w:themeFillShade="F2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28413E" w:rsidRPr="005B4964" w:rsidRDefault="0028413E" w:rsidP="001C4F1B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49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более 50 г</w:t>
            </w:r>
          </w:p>
        </w:tc>
      </w:tr>
      <w:tr w:rsidR="005B4964" w:rsidRPr="005B4964" w:rsidTr="005B4964">
        <w:trPr>
          <w:tblCellSpacing w:w="0" w:type="dxa"/>
          <w:jc w:val="center"/>
        </w:trPr>
        <w:tc>
          <w:tcPr>
            <w:tcW w:w="3165" w:type="dxa"/>
            <w:shd w:val="clear" w:color="auto" w:fill="F2F2F2" w:themeFill="background1" w:themeFillShade="F2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28413E" w:rsidRPr="005B4964" w:rsidRDefault="0028413E" w:rsidP="001C4F1B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49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Переосвидетельствование</w:t>
            </w:r>
          </w:p>
        </w:tc>
        <w:tc>
          <w:tcPr>
            <w:tcW w:w="3165" w:type="dxa"/>
            <w:shd w:val="clear" w:color="auto" w:fill="F2F2F2" w:themeFill="background1" w:themeFillShade="F2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28413E" w:rsidRPr="005B4964" w:rsidRDefault="0028413E" w:rsidP="001C4F1B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49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реже 1 раза в 5 лет</w:t>
            </w:r>
          </w:p>
        </w:tc>
      </w:tr>
      <w:tr w:rsidR="005B4964" w:rsidRPr="005B4964" w:rsidTr="005B4964">
        <w:trPr>
          <w:tblCellSpacing w:w="0" w:type="dxa"/>
          <w:jc w:val="center"/>
        </w:trPr>
        <w:tc>
          <w:tcPr>
            <w:tcW w:w="3165" w:type="dxa"/>
            <w:shd w:val="clear" w:color="auto" w:fill="F2F2F2" w:themeFill="background1" w:themeFillShade="F2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28413E" w:rsidRPr="005B4964" w:rsidRDefault="0028413E" w:rsidP="001C4F1B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49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службы</w:t>
            </w:r>
          </w:p>
        </w:tc>
        <w:tc>
          <w:tcPr>
            <w:tcW w:w="3165" w:type="dxa"/>
            <w:shd w:val="clear" w:color="auto" w:fill="F2F2F2" w:themeFill="background1" w:themeFillShade="F2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28413E" w:rsidRPr="005B4964" w:rsidRDefault="0028413E" w:rsidP="001C4F1B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49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 лет</w:t>
            </w:r>
          </w:p>
        </w:tc>
      </w:tr>
    </w:tbl>
    <w:p w:rsidR="0028413E" w:rsidRPr="0028413E" w:rsidRDefault="0028413E" w:rsidP="001C4F1B">
      <w:pPr>
        <w:shd w:val="clear" w:color="auto" w:fill="FFFFFF" w:themeFill="background1"/>
        <w:spacing w:before="225" w:after="225" w:line="240" w:lineRule="auto"/>
        <w:rPr>
          <w:rFonts w:ascii="Trebuchet MS" w:eastAsia="Times New Roman" w:hAnsi="Trebuchet MS" w:cs="Times New Roman"/>
          <w:color w:val="56595E"/>
          <w:sz w:val="21"/>
          <w:szCs w:val="21"/>
          <w:lang w:eastAsia="ru-RU"/>
        </w:rPr>
      </w:pPr>
      <w:r w:rsidRPr="0028413E">
        <w:rPr>
          <w:rFonts w:ascii="Trebuchet MS" w:eastAsia="Times New Roman" w:hAnsi="Trebuchet MS" w:cs="Times New Roman"/>
          <w:color w:val="56595E"/>
          <w:sz w:val="21"/>
          <w:szCs w:val="21"/>
          <w:lang w:eastAsia="ru-RU"/>
        </w:rPr>
        <w:t> </w:t>
      </w:r>
    </w:p>
    <w:p w:rsidR="0028413E" w:rsidRDefault="0028413E" w:rsidP="001C4F1B">
      <w:pPr>
        <w:shd w:val="clear" w:color="auto" w:fill="FFFFFF" w:themeFill="background1"/>
        <w:spacing w:before="225" w:after="225" w:line="240" w:lineRule="auto"/>
        <w:rPr>
          <w:rFonts w:ascii="Trebuchet MS" w:eastAsia="Times New Roman" w:hAnsi="Trebuchet MS" w:cs="Times New Roman"/>
          <w:color w:val="56595E"/>
          <w:sz w:val="21"/>
          <w:szCs w:val="21"/>
          <w:lang w:eastAsia="ru-RU"/>
        </w:rPr>
      </w:pPr>
      <w:r w:rsidRPr="001C4F1B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В каких случаях стоит использовать УО:</w:t>
      </w:r>
      <w:r w:rsidRPr="001C4F1B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br/>
      </w:r>
      <w:r w:rsidRPr="0028413E">
        <w:rPr>
          <w:rFonts w:ascii="Trebuchet MS" w:eastAsia="Times New Roman" w:hAnsi="Trebuchet MS" w:cs="Times New Roman"/>
          <w:color w:val="56595E"/>
          <w:sz w:val="21"/>
          <w:szCs w:val="21"/>
          <w:lang w:eastAsia="ru-RU"/>
        </w:rPr>
        <w:br/>
        <w:t>• Для борьбы с воспламеняющимися жидкостями (В)</w:t>
      </w:r>
      <w:r w:rsidRPr="0028413E">
        <w:rPr>
          <w:rFonts w:ascii="Trebuchet MS" w:eastAsia="Times New Roman" w:hAnsi="Trebuchet MS" w:cs="Times New Roman"/>
          <w:color w:val="56595E"/>
          <w:sz w:val="21"/>
          <w:szCs w:val="21"/>
          <w:lang w:eastAsia="ru-RU"/>
        </w:rPr>
        <w:br/>
        <w:t>• Для борьбы с воспламеняющимися газами (С)</w:t>
      </w:r>
      <w:r w:rsidRPr="0028413E">
        <w:rPr>
          <w:rFonts w:ascii="Trebuchet MS" w:eastAsia="Times New Roman" w:hAnsi="Trebuchet MS" w:cs="Times New Roman"/>
          <w:color w:val="56595E"/>
          <w:sz w:val="21"/>
          <w:szCs w:val="21"/>
          <w:lang w:eastAsia="ru-RU"/>
        </w:rPr>
        <w:br/>
        <w:t>• Для борьбы с возгоранием эл. оборудования (E) под нагрузкой до 10000В</w:t>
      </w:r>
    </w:p>
    <w:p w:rsidR="005B4964" w:rsidRPr="0028413E" w:rsidRDefault="005B4964" w:rsidP="001C4F1B">
      <w:pPr>
        <w:shd w:val="clear" w:color="auto" w:fill="FFFFFF" w:themeFill="background1"/>
        <w:spacing w:before="225" w:after="225" w:line="240" w:lineRule="auto"/>
        <w:rPr>
          <w:rFonts w:ascii="Trebuchet MS" w:eastAsia="Times New Roman" w:hAnsi="Trebuchet MS" w:cs="Times New Roman"/>
          <w:color w:val="56595E"/>
          <w:sz w:val="21"/>
          <w:szCs w:val="21"/>
          <w:lang w:eastAsia="ru-RU"/>
        </w:rPr>
      </w:pPr>
    </w:p>
    <w:p w:rsidR="005B4964" w:rsidRDefault="005B4964" w:rsidP="005B4964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Trebuchet MS" w:hAnsi="Trebuchet MS"/>
          <w:b/>
          <w:color w:val="444444"/>
          <w:sz w:val="21"/>
          <w:szCs w:val="21"/>
        </w:rPr>
      </w:pPr>
    </w:p>
    <w:p w:rsidR="005B4964" w:rsidRDefault="005B4964" w:rsidP="005B4964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Trebuchet MS" w:hAnsi="Trebuchet MS"/>
          <w:b/>
          <w:color w:val="444444"/>
          <w:sz w:val="21"/>
          <w:szCs w:val="21"/>
        </w:rPr>
      </w:pPr>
      <w:r>
        <w:rPr>
          <w:rFonts w:ascii="Trebuchet MS" w:hAnsi="Trebuchet MS"/>
          <w:b/>
          <w:color w:val="444444"/>
          <w:sz w:val="21"/>
          <w:szCs w:val="21"/>
        </w:rPr>
        <w:t>В каких случаях не стоит использовать УО:</w:t>
      </w:r>
    </w:p>
    <w:p w:rsidR="005B4964" w:rsidRDefault="005B4964" w:rsidP="005B4964">
      <w:pPr>
        <w:pStyle w:val="a3"/>
        <w:shd w:val="clear" w:color="auto" w:fill="FFFFFF"/>
        <w:spacing w:before="225" w:beforeAutospacing="0" w:after="225" w:afterAutospacing="0"/>
        <w:rPr>
          <w:rFonts w:ascii="Trebuchet MS" w:hAnsi="Trebuchet MS"/>
          <w:b/>
          <w:color w:val="444444"/>
          <w:sz w:val="21"/>
          <w:szCs w:val="21"/>
        </w:rPr>
      </w:pPr>
      <w:r>
        <w:rPr>
          <w:rFonts w:ascii="Trebuchet MS" w:hAnsi="Trebuchet MS"/>
          <w:b/>
          <w:color w:val="444444"/>
          <w:sz w:val="21"/>
          <w:szCs w:val="21"/>
        </w:rPr>
        <w:t>Если горит электрическая установка напряжением свыше 10000</w:t>
      </w:r>
      <w:proofErr w:type="gramStart"/>
      <w:r>
        <w:rPr>
          <w:rFonts w:ascii="Trebuchet MS" w:hAnsi="Trebuchet MS"/>
          <w:b/>
          <w:color w:val="444444"/>
          <w:sz w:val="21"/>
          <w:szCs w:val="21"/>
        </w:rPr>
        <w:t xml:space="preserve"> В</w:t>
      </w:r>
      <w:proofErr w:type="gramEnd"/>
      <w:r>
        <w:rPr>
          <w:rFonts w:ascii="Trebuchet MS" w:hAnsi="Trebuchet MS"/>
          <w:b/>
          <w:color w:val="444444"/>
          <w:sz w:val="21"/>
          <w:szCs w:val="21"/>
        </w:rPr>
        <w:t xml:space="preserve"> (Е);</w:t>
      </w:r>
    </w:p>
    <w:p w:rsidR="005B4964" w:rsidRDefault="005B4964" w:rsidP="005B4964">
      <w:pPr>
        <w:pStyle w:val="a3"/>
        <w:shd w:val="clear" w:color="auto" w:fill="FFFFFF"/>
        <w:spacing w:before="225" w:beforeAutospacing="0" w:after="225" w:afterAutospacing="0"/>
        <w:rPr>
          <w:rFonts w:ascii="Trebuchet MS" w:hAnsi="Trebuchet MS"/>
          <w:b/>
          <w:color w:val="444444"/>
          <w:sz w:val="21"/>
          <w:szCs w:val="21"/>
        </w:rPr>
      </w:pPr>
      <w:r>
        <w:rPr>
          <w:rFonts w:ascii="Trebuchet MS" w:hAnsi="Trebuchet MS"/>
          <w:b/>
          <w:color w:val="444444"/>
          <w:sz w:val="21"/>
          <w:szCs w:val="21"/>
        </w:rPr>
        <w:t>Если горят твердые и горючие материалы (А);</w:t>
      </w:r>
    </w:p>
    <w:p w:rsidR="005B4964" w:rsidRDefault="00487FD8" w:rsidP="005B4964">
      <w:pPr>
        <w:pStyle w:val="a3"/>
        <w:shd w:val="clear" w:color="auto" w:fill="FFFFFF"/>
        <w:spacing w:before="225" w:beforeAutospacing="0" w:after="225" w:afterAutospacing="0"/>
        <w:rPr>
          <w:rFonts w:ascii="Trebuchet MS" w:hAnsi="Trebuchet MS"/>
          <w:b/>
          <w:color w:val="444444"/>
          <w:sz w:val="21"/>
          <w:szCs w:val="21"/>
        </w:rPr>
      </w:pPr>
      <w:r>
        <w:rPr>
          <w:rFonts w:ascii="Trebuchet MS" w:hAnsi="Trebuchet MS"/>
          <w:b/>
          <w:color w:val="444444"/>
          <w:sz w:val="21"/>
          <w:szCs w:val="21"/>
        </w:rPr>
        <w:t>Если возгорание произошло посредством реакции с кислородом (Д), (магнием, алюминием и их сплавами, калием и натрием)</w:t>
      </w:r>
    </w:p>
    <w:p w:rsidR="005B4964" w:rsidRDefault="005B4964" w:rsidP="005B4964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Trebuchet MS" w:hAnsi="Trebuchet MS"/>
          <w:b/>
          <w:color w:val="444444"/>
          <w:sz w:val="21"/>
          <w:szCs w:val="21"/>
        </w:rPr>
      </w:pPr>
    </w:p>
    <w:p w:rsidR="005B4964" w:rsidRDefault="005B4964" w:rsidP="005B4964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Trebuchet MS" w:hAnsi="Trebuchet MS"/>
          <w:b/>
          <w:color w:val="444444"/>
          <w:sz w:val="21"/>
          <w:szCs w:val="21"/>
        </w:rPr>
      </w:pPr>
    </w:p>
    <w:p w:rsidR="0028413E" w:rsidRPr="00487FD8" w:rsidRDefault="005B4964" w:rsidP="005B4964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Trebuchet MS" w:hAnsi="Trebuchet MS"/>
          <w:b/>
          <w:color w:val="444444"/>
          <w:sz w:val="28"/>
          <w:szCs w:val="28"/>
        </w:rPr>
      </w:pPr>
      <w:r w:rsidRPr="00487FD8">
        <w:rPr>
          <w:rFonts w:ascii="Trebuchet MS" w:hAnsi="Trebuchet MS"/>
          <w:b/>
          <w:color w:val="444444"/>
          <w:sz w:val="28"/>
          <w:szCs w:val="28"/>
        </w:rPr>
        <w:lastRenderedPageBreak/>
        <w:t xml:space="preserve">Описание ОУ-2 </w:t>
      </w:r>
      <w:r w:rsidRPr="00487FD8">
        <w:rPr>
          <w:rFonts w:ascii="Trebuchet MS" w:hAnsi="Trebuchet MS"/>
          <w:b/>
          <w:color w:val="444444"/>
          <w:sz w:val="28"/>
          <w:szCs w:val="28"/>
        </w:rPr>
        <w:t>огнетушител</w:t>
      </w:r>
      <w:r w:rsidRPr="00487FD8">
        <w:rPr>
          <w:rFonts w:ascii="Trebuchet MS" w:hAnsi="Trebuchet MS"/>
          <w:b/>
          <w:color w:val="444444"/>
          <w:sz w:val="28"/>
          <w:szCs w:val="28"/>
        </w:rPr>
        <w:t>ь углекислотный</w:t>
      </w:r>
    </w:p>
    <w:p w:rsidR="00487FD8" w:rsidRPr="005B4964" w:rsidRDefault="00487FD8" w:rsidP="005B4964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Trebuchet MS" w:hAnsi="Trebuchet MS"/>
          <w:b/>
          <w:color w:val="444444"/>
          <w:sz w:val="21"/>
          <w:szCs w:val="21"/>
        </w:rPr>
      </w:pPr>
      <w:bookmarkStart w:id="0" w:name="_GoBack"/>
      <w:bookmarkEnd w:id="0"/>
    </w:p>
    <w:p w:rsidR="005B4964" w:rsidRDefault="0028413E" w:rsidP="0028413E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 УО – это такой тип огнетушителей, которые накачивают под высоким давлением с зарядом жидкой двуокиси углерода (ГОСТ 8050-85), которая, в свою очередь, находится под значительным давлением паров. Принцип действия УО основан на выбрасывании заряда двуокиси углерода под действием избыточного давления, создающегося при накачивании огнетушителя.</w:t>
      </w:r>
    </w:p>
    <w:p w:rsidR="0028413E" w:rsidRDefault="0028413E" w:rsidP="0028413E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 xml:space="preserve"> Двуокись углерода содержится в баллоне под давлением 5.8 </w:t>
      </w:r>
      <w:proofErr w:type="spellStart"/>
      <w:r>
        <w:rPr>
          <w:rFonts w:ascii="Trebuchet MS" w:hAnsi="Trebuchet MS"/>
          <w:color w:val="444444"/>
          <w:sz w:val="21"/>
          <w:szCs w:val="21"/>
        </w:rPr>
        <w:t>мегапаскаль</w:t>
      </w:r>
      <w:proofErr w:type="spellEnd"/>
      <w:r>
        <w:rPr>
          <w:rFonts w:ascii="Trebuchet MS" w:hAnsi="Trebuchet MS"/>
          <w:color w:val="444444"/>
          <w:sz w:val="21"/>
          <w:szCs w:val="21"/>
        </w:rPr>
        <w:t xml:space="preserve"> (60 килограмм на квадратный сантиметр), при температуре среды +20°С. Максимально допустимое давление в баллоне при температуре +50 градусов по Цельсию не должно быть выше 14,7 </w:t>
      </w:r>
      <w:proofErr w:type="spellStart"/>
      <w:r>
        <w:rPr>
          <w:rFonts w:ascii="Trebuchet MS" w:hAnsi="Trebuchet MS"/>
          <w:color w:val="444444"/>
          <w:sz w:val="21"/>
          <w:szCs w:val="21"/>
        </w:rPr>
        <w:t>мегапаскаль</w:t>
      </w:r>
      <w:proofErr w:type="spellEnd"/>
      <w:r>
        <w:rPr>
          <w:rFonts w:ascii="Trebuchet MS" w:hAnsi="Trebuchet MS"/>
          <w:color w:val="444444"/>
          <w:sz w:val="21"/>
          <w:szCs w:val="21"/>
        </w:rPr>
        <w:t xml:space="preserve"> (150 килограмм на квадратный сантиметр).</w:t>
      </w:r>
    </w:p>
    <w:p w:rsidR="0028413E" w:rsidRDefault="0028413E" w:rsidP="0028413E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 xml:space="preserve">Тушение возгорания происходит за счёт понижения температуры места горения, </w:t>
      </w:r>
      <w:proofErr w:type="gramStart"/>
      <w:r>
        <w:rPr>
          <w:rFonts w:ascii="Trebuchet MS" w:hAnsi="Trebuchet MS"/>
          <w:color w:val="444444"/>
          <w:sz w:val="21"/>
          <w:szCs w:val="21"/>
        </w:rPr>
        <w:t>в следствии</w:t>
      </w:r>
      <w:proofErr w:type="gramEnd"/>
      <w:r>
        <w:rPr>
          <w:rFonts w:ascii="Trebuchet MS" w:hAnsi="Trebuchet MS"/>
          <w:color w:val="444444"/>
          <w:sz w:val="21"/>
          <w:szCs w:val="21"/>
        </w:rPr>
        <w:t> выбрасывания в горящую среду не возгорающегося состава, до полной остановки реакции горения.</w:t>
      </w:r>
    </w:p>
    <w:p w:rsidR="0028413E" w:rsidRDefault="0028413E" w:rsidP="0028413E">
      <w:pPr>
        <w:pStyle w:val="a3"/>
        <w:shd w:val="clear" w:color="auto" w:fill="FFFFFF"/>
        <w:spacing w:before="225" w:beforeAutospacing="0" w:after="225" w:afterAutospacing="0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Если каждый год проверять массу заряда углекислотного огнетушителя, то гарантированный срок его работы будет около 5 (пяти) лет. Проверять и перезаряжать огнетушитель данного типа необходимо 1 раз в 5 (пять) лет. Все поддерживаемые и профилактические работы с огнетушителем в обязательном порядке производятся только в сертифицированных центрах. Не стоит забывать и о переосвидетельствовании баллона огнетушителя, которое нужно делать один раз в десять лет.</w:t>
      </w:r>
    </w:p>
    <w:p w:rsidR="0028413E" w:rsidRDefault="0028413E" w:rsidP="0028413E">
      <w:pPr>
        <w:pStyle w:val="a3"/>
        <w:shd w:val="clear" w:color="auto" w:fill="FFFFFF"/>
        <w:spacing w:before="225" w:beforeAutospacing="0" w:after="225" w:afterAutospacing="0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Гарантированный срок использования огнетушителя составляет двенадцать месяцев после продажи, но не более</w:t>
      </w:r>
      <w:proofErr w:type="gramStart"/>
      <w:r>
        <w:rPr>
          <w:rFonts w:ascii="Trebuchet MS" w:hAnsi="Trebuchet MS"/>
          <w:color w:val="444444"/>
          <w:sz w:val="21"/>
          <w:szCs w:val="21"/>
        </w:rPr>
        <w:t>,</w:t>
      </w:r>
      <w:proofErr w:type="gramEnd"/>
      <w:r>
        <w:rPr>
          <w:rFonts w:ascii="Trebuchet MS" w:hAnsi="Trebuchet MS"/>
          <w:color w:val="444444"/>
          <w:sz w:val="21"/>
          <w:szCs w:val="21"/>
        </w:rPr>
        <w:t xml:space="preserve"> чем восемнадцать месяцев со дня изготовления.</w:t>
      </w:r>
    </w:p>
    <w:p w:rsidR="0028413E" w:rsidRDefault="0028413E" w:rsidP="0028413E">
      <w:pPr>
        <w:pStyle w:val="a3"/>
        <w:shd w:val="clear" w:color="auto" w:fill="FFFFFF"/>
        <w:spacing w:before="225" w:beforeAutospacing="0" w:after="225" w:afterAutospacing="0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Меры предосторожности, которые необходимо соблюдать, используя данный тип огнетушителей (УО):</w:t>
      </w:r>
    </w:p>
    <w:p w:rsidR="0028413E" w:rsidRDefault="0028413E" w:rsidP="0028413E">
      <w:pPr>
        <w:pStyle w:val="a3"/>
        <w:shd w:val="clear" w:color="auto" w:fill="FFFFFF"/>
        <w:spacing w:before="225" w:beforeAutospacing="0" w:after="225" w:afterAutospacing="0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• Во время тушения эл/силовых установок, минимальное расстояние до раструба огнетушителя должно составлять один метр;</w:t>
      </w:r>
      <w:r>
        <w:rPr>
          <w:rFonts w:ascii="Trebuchet MS" w:hAnsi="Trebuchet MS"/>
          <w:color w:val="444444"/>
          <w:sz w:val="21"/>
          <w:szCs w:val="21"/>
        </w:rPr>
        <w:br/>
        <w:t>• Не стоит допускать прямых прикосновений незащищённых частей тела с раструбом УО;</w:t>
      </w:r>
      <w:r>
        <w:rPr>
          <w:rFonts w:ascii="Trebuchet MS" w:hAnsi="Trebuchet MS"/>
          <w:color w:val="444444"/>
          <w:sz w:val="21"/>
          <w:szCs w:val="21"/>
        </w:rPr>
        <w:br/>
        <w:t>• Место, в котором использовался углекислотный огнетушитель (УО), необходимо хорошо проветрить.</w:t>
      </w:r>
    </w:p>
    <w:p w:rsidR="0028413E" w:rsidRPr="0028413E" w:rsidRDefault="0028413E" w:rsidP="0028413E">
      <w:pPr>
        <w:rPr>
          <w:b/>
          <w:sz w:val="32"/>
          <w:szCs w:val="32"/>
          <w:u w:val="single"/>
        </w:rPr>
      </w:pPr>
    </w:p>
    <w:sectPr w:rsidR="0028413E" w:rsidRPr="0028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3E"/>
    <w:rsid w:val="0015443A"/>
    <w:rsid w:val="001C4F1B"/>
    <w:rsid w:val="0028413E"/>
    <w:rsid w:val="00487FD8"/>
    <w:rsid w:val="005B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4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13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84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8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4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13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84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8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2018-04-03T09:30:00Z</dcterms:created>
  <dcterms:modified xsi:type="dcterms:W3CDTF">2018-04-03T13:10:00Z</dcterms:modified>
</cp:coreProperties>
</file>